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приказу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  <w:t>Таблица 1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Информация о работе спортивных сооружений, задействованных в организации летней кампании 2022 году</w:t>
      </w:r>
    </w:p>
    <w:p>
      <w:pPr>
        <w:pStyle w:val="Normal"/>
        <w:jc w:val="center"/>
        <w:rPr/>
      </w:pPr>
      <w:r>
        <w:rPr/>
      </w:r>
    </w:p>
    <w:tbl>
      <w:tblPr>
        <w:tblW w:w="15136" w:type="dxa"/>
        <w:jc w:val="left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3"/>
        <w:gridCol w:w="474"/>
        <w:gridCol w:w="474"/>
        <w:gridCol w:w="472"/>
        <w:gridCol w:w="3"/>
        <w:gridCol w:w="474"/>
        <w:gridCol w:w="474"/>
        <w:gridCol w:w="473"/>
        <w:gridCol w:w="473"/>
        <w:gridCol w:w="4"/>
        <w:gridCol w:w="474"/>
        <w:gridCol w:w="474"/>
        <w:gridCol w:w="473"/>
        <w:gridCol w:w="470"/>
        <w:gridCol w:w="6"/>
        <w:gridCol w:w="473"/>
        <w:gridCol w:w="474"/>
        <w:gridCol w:w="474"/>
        <w:gridCol w:w="469"/>
        <w:gridCol w:w="5"/>
        <w:gridCol w:w="473"/>
        <w:gridCol w:w="474"/>
        <w:gridCol w:w="474"/>
        <w:gridCol w:w="468"/>
        <w:gridCol w:w="6"/>
        <w:gridCol w:w="473"/>
        <w:gridCol w:w="474"/>
        <w:gridCol w:w="474"/>
        <w:gridCol w:w="468"/>
        <w:gridCol w:w="6"/>
        <w:gridCol w:w="473"/>
        <w:gridCol w:w="474"/>
        <w:gridCol w:w="474"/>
        <w:gridCol w:w="469"/>
        <w:gridCol w:w="5"/>
        <w:gridCol w:w="474"/>
        <w:gridCol w:w="473"/>
        <w:gridCol w:w="474"/>
        <w:gridCol w:w="436"/>
      </w:tblGrid>
      <w:tr>
        <w:trPr>
          <w:trHeight w:val="757" w:hRule="atLeast"/>
        </w:trPr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Стадионы с трибунами на 1500 мест и более     </w:t>
            </w:r>
          </w:p>
        </w:tc>
        <w:tc>
          <w:tcPr>
            <w:tcW w:w="1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Плоскостные спортивные сооружения</w:t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Спортивные залы  </w:t>
            </w:r>
          </w:p>
        </w:tc>
        <w:tc>
          <w:tcPr>
            <w:tcW w:w="1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Дворцы спорта </w:t>
            </w:r>
          </w:p>
        </w:tc>
        <w:tc>
          <w:tcPr>
            <w:tcW w:w="1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Плавательные бассейны </w:t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Сооружения для лыжных видов спорта</w:t>
            </w:r>
          </w:p>
        </w:tc>
        <w:tc>
          <w:tcPr>
            <w:tcW w:w="1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Сооружения для стрелковых видов спорта 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Другие спортивные сооружения</w:t>
            </w:r>
          </w:p>
        </w:tc>
      </w:tr>
      <w:tr>
        <w:trPr>
          <w:trHeight w:val="633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507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  <w:t>Таблица 2</w:t>
      </w:r>
    </w:p>
    <w:p>
      <w:pPr>
        <w:pStyle w:val="Normal"/>
        <w:jc w:val="center"/>
        <w:rPr/>
      </w:pPr>
      <w:r>
        <w:rPr/>
        <w:t xml:space="preserve">Информация об организации работы учреждений физкультурно-спортивной направленности в период летней кампании _2022 году </w:t>
      </w:r>
    </w:p>
    <w:p>
      <w:pPr>
        <w:pStyle w:val="Normal"/>
        <w:jc w:val="center"/>
        <w:rPr/>
      </w:pPr>
      <w:r>
        <w:rPr/>
      </w:r>
    </w:p>
    <w:tbl>
      <w:tblPr>
        <w:tblW w:w="15685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64"/>
        <w:gridCol w:w="1102"/>
        <w:gridCol w:w="1134"/>
        <w:gridCol w:w="755"/>
        <w:gridCol w:w="660"/>
        <w:gridCol w:w="2"/>
        <w:gridCol w:w="1"/>
        <w:gridCol w:w="896"/>
        <w:gridCol w:w="3"/>
        <w:gridCol w:w="988"/>
        <w:gridCol w:w="3"/>
        <w:gridCol w:w="800"/>
        <w:gridCol w:w="709"/>
        <w:gridCol w:w="2"/>
        <w:gridCol w:w="3"/>
        <w:gridCol w:w="927"/>
        <w:gridCol w:w="5"/>
        <w:gridCol w:w="986"/>
        <w:gridCol w:w="5"/>
        <w:gridCol w:w="797"/>
        <w:gridCol w:w="668"/>
        <w:gridCol w:w="2"/>
        <w:gridCol w:w="3"/>
        <w:gridCol w:w="1099"/>
        <w:gridCol w:w="5"/>
        <w:gridCol w:w="986"/>
        <w:gridCol w:w="5"/>
        <w:gridCol w:w="1057"/>
        <w:gridCol w:w="3"/>
        <w:gridCol w:w="1215"/>
      </w:tblGrid>
      <w:tr>
        <w:trPr>
          <w:trHeight w:val="553" w:hRule="atLeast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Спортивные площадки по месту жительства и учебы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Клубы по месту жительства</w:t>
            </w:r>
          </w:p>
        </w:tc>
        <w:tc>
          <w:tcPr>
            <w:tcW w:w="33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Спортивные лагеря при СДЮШОР, ДЮСШ и др.</w:t>
            </w:r>
          </w:p>
        </w:tc>
        <w:tc>
          <w:tcPr>
            <w:tcW w:w="4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Кол-во специалистов в 2022 г.</w:t>
            </w:r>
          </w:p>
        </w:tc>
      </w:tr>
      <w:tr>
        <w:trPr>
          <w:trHeight w:val="255" w:hRule="atLeast"/>
        </w:trPr>
        <w:tc>
          <w:tcPr>
            <w:tcW w:w="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Кол-во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Кол-во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заним-ся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из них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Кол-во клубов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Кол-во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заним-ся</w:t>
            </w:r>
          </w:p>
        </w:tc>
        <w:tc>
          <w:tcPr>
            <w:tcW w:w="1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из них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Кол-во лагерей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Кол-во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заним-ся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из них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Студенты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Тренеры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Учащиеся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Другие</w:t>
            </w:r>
          </w:p>
        </w:tc>
      </w:tr>
      <w:tr>
        <w:trPr>
          <w:trHeight w:val="295" w:hRule="atLeast"/>
        </w:trPr>
        <w:tc>
          <w:tcPr>
            <w:tcW w:w="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учете в КДН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инвалиды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учете в КДН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инвалиды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учете в КДН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инвалиды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специалисты</w:t>
            </w:r>
          </w:p>
        </w:tc>
      </w:tr>
      <w:tr>
        <w:trPr>
          <w:trHeight w:val="255" w:hRule="atLeast"/>
        </w:trPr>
        <w:tc>
          <w:tcPr>
            <w:tcW w:w="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1389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b/>
          <w:b/>
        </w:rPr>
      </w:pPr>
      <w:r>
        <w:rPr>
          <w:b/>
        </w:rPr>
        <w:t>Таблица 3</w:t>
      </w:r>
    </w:p>
    <w:p>
      <w:pPr>
        <w:pStyle w:val="Normal"/>
        <w:jc w:val="center"/>
        <w:rPr/>
      </w:pPr>
      <w:r>
        <w:rPr/>
        <w:t>Информация о количестве детей, охваченных организованными формами летнего отдыха и оздоровления в _______ году</w:t>
      </w:r>
    </w:p>
    <w:tbl>
      <w:tblPr>
        <w:tblW w:w="15202" w:type="dxa"/>
        <w:jc w:val="lef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94"/>
        <w:gridCol w:w="3329"/>
        <w:gridCol w:w="3971"/>
        <w:gridCol w:w="3164"/>
        <w:gridCol w:w="2932"/>
        <w:gridCol w:w="711"/>
      </w:tblGrid>
      <w:tr>
        <w:trPr/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Малозатратные формы летнего отдыха (всего, чел./ из них "трудных подростков, состоящих на учете в органах внутренних дел, комиссии по делам несовершеннолетних и защиты их прав, чел.)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99" w:hanging="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Палаточные лагеря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(всего, чел./ из них "трудных подростков, состоящих на учете в органах внутренних дел, комиссии по делам несовершеннолетних и защиты их прав, чел.)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военно-патриотической направленности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Загородные оздоровительные лагеря</w:t>
            </w:r>
          </w:p>
          <w:p>
            <w:pPr>
              <w:pStyle w:val="Normal"/>
              <w:ind w:left="99" w:hanging="99"/>
              <w:jc w:val="center"/>
              <w:rPr/>
            </w:pPr>
            <w:r>
              <w:rPr>
                <w:sz w:val="18"/>
                <w:szCs w:val="18"/>
              </w:rPr>
              <w:t>(всего, чел./ из них "трудных подростков, состоящих на учете в органах внутренних дел, комиссии по делам несовершеннолетних и защиты их прав, чел.)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99" w:hanging="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Палаточные лагеря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(всего, чел./ из них "трудных подростков, состоящих на учете в органах внутренних дел, комиссии по делам несовершеннолетних и защиты их прав, чел.)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Всего (чел.)</w:t>
            </w:r>
          </w:p>
        </w:tc>
      </w:tr>
      <w:tr>
        <w:trPr>
          <w:trHeight w:val="371" w:hRule="atLeast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Июнь (</w:t>
            </w:r>
            <w:r>
              <w:rPr>
                <w:lang w:val="en-US"/>
              </w:rPr>
              <w:t>I</w:t>
            </w:r>
            <w:r>
              <w:rPr/>
              <w:t>смена)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Июль (</w:t>
            </w:r>
            <w:r>
              <w:rPr>
                <w:lang w:val="en-US"/>
              </w:rPr>
              <w:t>II</w:t>
            </w:r>
            <w:r>
              <w:rPr/>
              <w:t>смена)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Август (</w:t>
            </w:r>
            <w:r>
              <w:rPr>
                <w:lang w:val="en-US"/>
              </w:rPr>
              <w:t>III</w:t>
            </w:r>
            <w:r>
              <w:rPr/>
              <w:t>смена)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  <w:b/>
        </w:rPr>
      </w:pPr>
      <w:r>
        <w:rPr>
          <w:b/>
        </w:rPr>
        <w:t>Таблица 4</w:t>
      </w:r>
    </w:p>
    <w:p>
      <w:pPr>
        <w:pStyle w:val="Style61"/>
        <w:widowControl/>
        <w:jc w:val="right"/>
        <w:rPr>
          <w:rStyle w:val="FontStyle17"/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проведении смен в детских оздоровительных лагерях в благоприятных регионах России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период летних каникул ________года </w:t>
      </w:r>
    </w:p>
    <w:tbl>
      <w:tblPr>
        <w:tblW w:w="14851" w:type="dxa"/>
        <w:jc w:val="lef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551"/>
        <w:gridCol w:w="2251"/>
        <w:gridCol w:w="2425"/>
        <w:gridCol w:w="3686"/>
        <w:gridCol w:w="1986"/>
        <w:gridCol w:w="1951"/>
      </w:tblGrid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432" w:hanging="432"/>
              <w:rPr/>
            </w:pPr>
            <w:r>
              <w:rPr/>
              <w:t>Наименование ДОЛ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Дата заезда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смены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Краткая характеристика смены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Возраст</w:t>
            </w:r>
          </w:p>
          <w:p>
            <w:pPr>
              <w:pStyle w:val="Normal"/>
              <w:jc w:val="center"/>
              <w:rPr/>
            </w:pPr>
            <w:r>
              <w:rPr/>
              <w:t>детей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Количество детей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432" w:hanging="432"/>
              <w:jc w:val="center"/>
              <w:rPr/>
            </w:pPr>
            <w:r>
              <w:rPr/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432" w:hanging="432"/>
              <w:jc w:val="center"/>
              <w:rPr/>
            </w:pPr>
            <w:r>
              <w:rPr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Style61"/>
        <w:widowControl/>
        <w:jc w:val="right"/>
        <w:rPr>
          <w:rStyle w:val="FontStyle17"/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yle61"/>
        <w:widowControl/>
        <w:jc w:val="right"/>
        <w:rPr>
          <w:rFonts w:ascii="Times New Roman" w:hAnsi="Times New Roman"/>
          <w:b/>
          <w:b/>
          <w:sz w:val="22"/>
          <w:szCs w:val="22"/>
        </w:rPr>
      </w:pPr>
      <w:r>
        <w:rPr>
          <w:rStyle w:val="FontStyle17"/>
          <w:rFonts w:ascii="Times New Roman" w:hAnsi="Times New Roman"/>
          <w:b/>
          <w:sz w:val="20"/>
          <w:szCs w:val="20"/>
        </w:rPr>
        <w:t>Таблица 5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финансировании летней оздоровительной кампании в ________ году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муниципальном образовании _____________________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582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9"/>
        <w:gridCol w:w="764"/>
        <w:gridCol w:w="766"/>
        <w:gridCol w:w="766"/>
        <w:gridCol w:w="565"/>
        <w:gridCol w:w="825"/>
        <w:gridCol w:w="824"/>
        <w:gridCol w:w="825"/>
        <w:gridCol w:w="641"/>
        <w:gridCol w:w="1"/>
        <w:gridCol w:w="697"/>
        <w:gridCol w:w="706"/>
        <w:gridCol w:w="706"/>
        <w:gridCol w:w="425"/>
        <w:gridCol w:w="747"/>
        <w:gridCol w:w="709"/>
        <w:gridCol w:w="850"/>
        <w:gridCol w:w="1263"/>
        <w:gridCol w:w="4"/>
        <w:gridCol w:w="802"/>
        <w:gridCol w:w="668"/>
        <w:gridCol w:w="853"/>
        <w:gridCol w:w="457"/>
      </w:tblGrid>
      <w:tr>
        <w:trPr/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Приобретение спортивного оборудования и инвентаря (тыс. руб.)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Строительство и реконструкция плоскостных спортивных сооружений (футбольные поля, площадки и т.п.) (тыс. руб.)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Организация спортивно-оздоровительных лагерей за пределами ХМАО (тыс. руб.)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Организация малозатратных форм летнего отдыха (дворовых площадок, клубов по месту жительства) и лагерей на базе ДЮСШ, СДЮСШОР и других учреждений физкультурно-спортивной направленности на территории муниципального образования (тыс. руб.)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Организация лагерей с круглосуточным пребыванием на базе учреждений физкультурно-спортивной направленности муниципальных образований, в т.ч. загородных лагерей (тыс. руб.)</w:t>
            </w:r>
          </w:p>
        </w:tc>
      </w:tr>
      <w:tr>
        <w:trPr>
          <w:trHeight w:val="1134" w:hRule="exact"/>
          <w:cantSplit w:val="true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Мест.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Окр.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Вне-бюджет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Мест. бюджет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Окр. бюджет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Вне-бюджет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Мест. бюджет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Окр. бюджет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Вне-бюджет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Мест.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Окр.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Вне-бюджет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Мест. бюджет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Окр.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Вне-бюджет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Всего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Июнь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Июль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август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6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Информация о количестве спортивно-массовых мероприятий в период летней оздоровительной кампании </w:t>
      </w:r>
      <w:r>
        <w:rPr>
          <w:u w:val="single"/>
        </w:rPr>
        <w:t>2022</w:t>
      </w:r>
      <w:r>
        <w:rPr/>
        <w:t xml:space="preserve"> года</w:t>
      </w:r>
    </w:p>
    <w:p>
      <w:pPr>
        <w:pStyle w:val="Normal"/>
        <w:rPr/>
      </w:pPr>
      <w:r>
        <w:rPr/>
      </w:r>
    </w:p>
    <w:tbl>
      <w:tblPr>
        <w:tblW w:w="14511" w:type="dxa"/>
        <w:jc w:val="lef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92"/>
        <w:gridCol w:w="4111"/>
        <w:gridCol w:w="4704"/>
        <w:gridCol w:w="470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Наименование мероприятия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Краткое описание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Количество участников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Спортивно — развлекательное мероприятие «Ура, каникулы!», посвященное празднованию Дня защиты детей.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Соревнования между командами БУ «Сургутский районный центр социальной помощи семье и детям», СОШ №2, СОШ№1 и дворовыми площадками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230 чел.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Веселые старты на воде «День Нептуна», в рамках праздника спорта «Спортивное лето» для пришкольных и дворовых площадок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Соревнования между командами БУ «Сургутский районный центр социальной помощи семье и детям», СОШ №2, СОШ№1 и дворовыми площадками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 чел.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Турнир по футболу, в рамках праздника спорта «Спортивное лето» для пришкольных оздоровительных лагерей и дворовых площадок.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Соревнования между командами БУ «Сургутский районный центр социальной помощи семье и детям», СОШ №2, СОШ№1 и дворовыми площадками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 чел.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Турнир по пионерболу, в рамках праздника спорта «</w:t>
            </w:r>
            <w:r>
              <w:rPr/>
              <w:t>Спортивное лето</w:t>
            </w:r>
            <w:r>
              <w:rPr>
                <w:color w:val="000000"/>
              </w:rPr>
              <w:t xml:space="preserve">» для пришкольных и дворовых площадок </w:t>
            </w:r>
            <w:r>
              <w:rPr>
                <w:color w:val="000000"/>
                <w:sz w:val="20"/>
                <w:szCs w:val="20"/>
              </w:rPr>
              <w:t>(СК «Жемчужина»)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Соревнования между командами БУ «Сургутский районный центр социальной помощи семье и детям» и дворовыми площадками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 чел.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</w:rPr>
              <w:t>ВСЕГО: 319 чел.</w:t>
            </w:r>
          </w:p>
        </w:tc>
      </w:tr>
      <w:tr>
        <w:trPr/>
        <w:tc>
          <w:tcPr>
            <w:tcW w:w="1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0"/>
                <w:szCs w:val="20"/>
              </w:rPr>
              <w:t xml:space="preserve">Турнир </w:t>
            </w:r>
            <w:r>
              <w:rPr>
                <w:rFonts w:cs="Times New Roman"/>
                <w:b/>
                <w:sz w:val="20"/>
                <w:szCs w:val="20"/>
              </w:rPr>
              <w:t xml:space="preserve">по шашкам </w:t>
            </w:r>
            <w:r>
              <w:rPr>
                <w:rFonts w:cs="Times New Roman"/>
                <w:sz w:val="20"/>
                <w:szCs w:val="20"/>
              </w:rPr>
              <w:t>«Быстрые шашки» в рамках программы «Спортивное лето», для пришкольных оздоровительных лагерей и дворовых площадок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июля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СК </w:t>
            </w:r>
            <w:r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</w:rPr>
              <w:t>Жемчужина</w:t>
            </w:r>
            <w:r>
              <w:rPr>
                <w:rFonts w:cs="Times New Roman"/>
                <w:sz w:val="20"/>
                <w:szCs w:val="20"/>
                <w:lang w:val="en-US"/>
              </w:rPr>
              <w:t>»</w:t>
            </w:r>
          </w:p>
          <w:p>
            <w:pPr>
              <w:pStyle w:val="Normal"/>
              <w:spacing w:lineRule="auto" w:line="240" w:before="0" w:after="0"/>
              <w:rPr/>
            </w:pPr>
            <w:bookmarkStart w:id="0" w:name="__DdeLink__1199_4149333966"/>
            <w:r>
              <w:rPr>
                <w:rFonts w:cs="Times New Roman"/>
              </w:rPr>
              <w:t xml:space="preserve">в соревнованиях принимали участие СОШ №5 и  </w:t>
            </w:r>
            <w:r>
              <w:rPr>
                <w:rFonts w:cs="Times New Roman"/>
                <w:lang w:val="en-US"/>
              </w:rPr>
              <w:t xml:space="preserve">Сургутский районный центр социальной помощи семье и детям. </w:t>
            </w:r>
            <w:bookmarkEnd w:id="0"/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33 человека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0"/>
                <w:szCs w:val="20"/>
              </w:rPr>
              <w:t xml:space="preserve">Турнир </w:t>
            </w:r>
            <w:r>
              <w:rPr>
                <w:rFonts w:cs="Times New Roman"/>
                <w:b/>
                <w:sz w:val="20"/>
                <w:szCs w:val="20"/>
              </w:rPr>
              <w:t>по футболу</w:t>
            </w:r>
            <w:r>
              <w:rPr>
                <w:rFonts w:cs="Times New Roman"/>
                <w:sz w:val="20"/>
                <w:szCs w:val="20"/>
              </w:rPr>
              <w:t xml:space="preserve"> «Спортивное лето», для пришкольных оздоровительных лагерей и дворовых площадок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14 июля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СК </w:t>
            </w:r>
            <w:r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</w:rPr>
              <w:t>Жемчужина</w:t>
            </w:r>
            <w:r>
              <w:rPr>
                <w:rFonts w:cs="Times New Roman"/>
                <w:sz w:val="20"/>
                <w:szCs w:val="20"/>
                <w:lang w:val="en-US"/>
              </w:rPr>
              <w:t>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в соревнованиях принимали участие СОШ №5 и  Сургутский районный центр социальной помощи семье и детям.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</w:rPr>
              <w:t>55 человек/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</w:rPr>
              <w:t>5 команд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0"/>
                <w:szCs w:val="20"/>
                <w:highlight w:val="white"/>
              </w:rPr>
              <w:t xml:space="preserve">Турнир </w:t>
            </w:r>
            <w:r>
              <w:rPr>
                <w:rFonts w:cs="Times New Roman"/>
                <w:b/>
                <w:color w:val="000000"/>
                <w:sz w:val="20"/>
                <w:szCs w:val="20"/>
                <w:highlight w:val="white"/>
              </w:rPr>
              <w:t>по пионерболу</w:t>
            </w:r>
            <w:r>
              <w:rPr>
                <w:rFonts w:cs="Times New Roman"/>
                <w:color w:val="000000"/>
                <w:sz w:val="20"/>
                <w:szCs w:val="20"/>
                <w:highlight w:val="white"/>
              </w:rPr>
              <w:t xml:space="preserve"> "Спортивное лето", для пришкольных оздоровительных лагерей и дворовых площадок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bCs/>
                <w:sz w:val="20"/>
                <w:szCs w:val="20"/>
              </w:rPr>
              <w:t>21 июля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СК </w:t>
            </w:r>
            <w:r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</w:rPr>
              <w:t>Жемчужина</w:t>
            </w:r>
            <w:r>
              <w:rPr>
                <w:rFonts w:cs="Times New Roman"/>
                <w:sz w:val="20"/>
                <w:szCs w:val="20"/>
                <w:lang w:val="en-US"/>
              </w:rPr>
              <w:t>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в соревнованиях принимали участие СОШ №5 и  Сургутский районный центр социальной помощи семье и детям.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63 человека/ 4 команды</w:t>
            </w:r>
          </w:p>
        </w:tc>
      </w:tr>
      <w:tr>
        <w:trPr/>
        <w:tc>
          <w:tcPr>
            <w:tcW w:w="9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/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 xml:space="preserve">Всего: </w:t>
            </w:r>
            <w:r>
              <w:rPr>
                <w:b/>
                <w:bCs/>
              </w:rPr>
              <w:t>151 человек</w:t>
            </w:r>
          </w:p>
        </w:tc>
      </w:tr>
      <w:tr>
        <w:trPr/>
        <w:tc>
          <w:tcPr>
            <w:tcW w:w="1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АВГУСТ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color w:val="000000"/>
                <w:sz w:val="20"/>
                <w:szCs w:val="20"/>
                <w:highlight w:val="white"/>
              </w:rPr>
              <w:t>Турнир по футболу «Кожаный мяч» в рамках программы «Спортивное лето» для пришкольных оздоровительных лагерей и дворовых площадок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05 августа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en-US"/>
              </w:rPr>
              <w:t>СК «Жемчужина»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en-US"/>
              </w:rPr>
              <w:t xml:space="preserve">в соревнованиях принимали участие СОШ №5 и  Сургутский районный центр социальной помощи семье и детям.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lang w:val="en-US"/>
              </w:rPr>
              <w:t>43 человека/4 команды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1"/>
                <w:rFonts w:eastAsia="Calibri" w:cs="Times New Roman"/>
                <w:b w:val="false"/>
                <w:bCs w:val="false"/>
                <w:color w:val="000000"/>
                <w:sz w:val="18"/>
                <w:szCs w:val="18"/>
                <w:u w:val="none"/>
              </w:rPr>
              <w:t>Веселые старты на воде для детей с ограниченными физическими возможностями «Веселый дельфин»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1"/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18 августа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"/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>МАУ «ФСОЦ», бассейн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"/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 xml:space="preserve">в соревнованиях принимали участие  </w:t>
            </w:r>
            <w:r>
              <w:rPr>
                <w:rStyle w:val="1"/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  <w:lang w:val="en-US"/>
              </w:rPr>
              <w:t xml:space="preserve">Сургутский районный центр социальной помощи семье и детям.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15 человек/ 2 команды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>Турнир по пионерболу «Спортивное лето» для пришкольных оздоровительных лагерей и дворовых площадок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1"/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19 августа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"/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>СК «Жемчужина»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4483_1498023395"/>
            <w:r>
              <w:rPr>
                <w:rFonts w:cs="Times New Roman"/>
                <w:sz w:val="20"/>
                <w:szCs w:val="20"/>
              </w:rPr>
              <w:t>60 человек / 5 команд</w:t>
            </w:r>
            <w:bookmarkEnd w:id="1"/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>Веселые старты в рамках празднования Дня Государственного флага РФ для пришкольных оздоровительных лагерей и дворовых площадок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20 августа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"/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>(СК «Жемчужина»)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"/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 xml:space="preserve">в соревнованиях принимали участие СОШ №5 и  </w:t>
            </w:r>
            <w:r>
              <w:rPr>
                <w:rStyle w:val="1"/>
                <w:rFonts w:eastAsia="Calibri" w:cs="Times New Roman"/>
                <w:b w:val="false"/>
                <w:bCs w:val="false"/>
                <w:color w:val="000000"/>
                <w:sz w:val="20"/>
                <w:szCs w:val="20"/>
                <w:u w:val="none"/>
                <w:lang w:val="en-US"/>
              </w:rPr>
              <w:t xml:space="preserve">Сургутский районный центр социальной помощи семье и детям.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60 человек / 4 команды</w:t>
            </w:r>
          </w:p>
        </w:tc>
      </w:tr>
      <w:tr>
        <w:trPr/>
        <w:tc>
          <w:tcPr>
            <w:tcW w:w="9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  <w:bCs/>
              </w:rPr>
              <w:t xml:space="preserve">Всего: </w:t>
            </w:r>
            <w:r>
              <w:rPr>
                <w:b/>
                <w:bCs/>
              </w:rPr>
              <w:t>178 человек</w:t>
            </w:r>
          </w:p>
        </w:tc>
      </w:tr>
      <w:tr>
        <w:trPr/>
        <w:tc>
          <w:tcPr>
            <w:tcW w:w="145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 648</w:t>
            </w:r>
          </w:p>
        </w:tc>
      </w:tr>
    </w:tbl>
    <w:p>
      <w:pPr>
        <w:sectPr>
          <w:footerReference w:type="default" r:id="rId2"/>
          <w:type w:val="nextPage"/>
          <w:pgSz w:orient="landscape" w:w="16838" w:h="11906"/>
          <w:pgMar w:left="539" w:right="539" w:header="0" w:top="719" w:footer="709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left" w:pos="8902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left" w:pos="8902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Описательный отчет</w:t>
      </w:r>
    </w:p>
    <w:p>
      <w:pPr>
        <w:pStyle w:val="Normal"/>
        <w:tabs>
          <w:tab w:val="left" w:pos="8902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отдыха, оздоровления и занятости </w:t>
      </w:r>
    </w:p>
    <w:p>
      <w:pPr>
        <w:pStyle w:val="Normal"/>
        <w:tabs>
          <w:tab w:val="left" w:pos="8902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детей, подростков и молодёжи в 2021 году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2"/>
        <w:numPr>
          <w:ilvl w:val="0"/>
          <w:numId w:val="1"/>
        </w:numPr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425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Организационная работа управления.</w:t>
      </w:r>
    </w:p>
    <w:p>
      <w:pPr>
        <w:pStyle w:val="Normal"/>
        <w:numPr>
          <w:ilvl w:val="1"/>
          <w:numId w:val="1"/>
        </w:numPr>
        <w:tabs>
          <w:tab w:val="left" w:pos="851" w:leader="none"/>
          <w:tab w:val="left" w:pos="1134" w:leader="none"/>
        </w:tabs>
        <w:ind w:left="0"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Нормативные правовые документы муниципального образования (главы, администрации, Думы, определяющие требования медицинского, санитарно-эпидемиологического надзора, организации питания, охраны труда и техники безопасности, обеспечения комплексной безопасности, антитеррористические мероприятия; нормативные акты, направленные на развитие сети и укрепление материально-технической базы оздоровительных учреждений, правовые акты по вопросам финансирования, оплаты и регламентации труда, кадрового обеспечения). </w:t>
      </w:r>
    </w:p>
    <w:p>
      <w:pPr>
        <w:pStyle w:val="Normal"/>
        <w:numPr>
          <w:ilvl w:val="1"/>
          <w:numId w:val="1"/>
        </w:numPr>
        <w:tabs>
          <w:tab w:val="left" w:pos="851" w:leader="none"/>
          <w:tab w:val="left" w:pos="1134" w:leader="none"/>
        </w:tabs>
        <w:ind w:left="0"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Работа </w:t>
      </w:r>
      <w:r>
        <w:rPr>
          <w:bCs/>
          <w:sz w:val="26"/>
          <w:szCs w:val="26"/>
        </w:rPr>
        <w:t>с представителями некоммерческих организаций, бизнес-сообщества, а также туристического бизнеса.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left" w:pos="851" w:leader="none"/>
          <w:tab w:val="left" w:pos="1134" w:leader="none"/>
        </w:tabs>
        <w:ind w:left="0" w:firstLine="425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Кадровое обеспечение: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2.1. укомплектованность кадрами учреждений отдыха и оздоровления детей;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2.2. проведение обучающих семинаров, курсов;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2.3. Обучение сотрудников, проведение инструктажей с занимающимися.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Формы детского и молодежного отдыха, оздоровления и занятости.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 стационарные загородные оздоровительные лагеря; 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3.2. палаточные лагеря; 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3.3. лагеря дневного пребывания детей.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Организация оздоровительных выездов в климатически-благоприятные зоны России.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Оснащение материально-технической базы.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Обеспечение комплексной безопасности детей в период оздоровительной кампании.</w:t>
      </w:r>
    </w:p>
    <w:p>
      <w:pPr>
        <w:pStyle w:val="Normal"/>
        <w:numPr>
          <w:ilvl w:val="1"/>
          <w:numId w:val="3"/>
        </w:numPr>
        <w:tabs>
          <w:tab w:val="left" w:pos="851" w:leader="none"/>
          <w:tab w:val="left" w:pos="1134" w:leader="none"/>
        </w:tabs>
        <w:ind w:left="0" w:firstLine="42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выполнение требований к организации безопасных перевозок детей;</w:t>
      </w:r>
    </w:p>
    <w:p>
      <w:pPr>
        <w:pStyle w:val="Normal"/>
        <w:numPr>
          <w:ilvl w:val="1"/>
          <w:numId w:val="3"/>
        </w:numPr>
        <w:tabs>
          <w:tab w:val="left" w:pos="851" w:leader="none"/>
          <w:tab w:val="left" w:pos="1134" w:leader="none"/>
        </w:tabs>
        <w:ind w:left="0"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организациях отдыха и оздоровления;</w:t>
      </w:r>
    </w:p>
    <w:p>
      <w:pPr>
        <w:pStyle w:val="Normal"/>
        <w:numPr>
          <w:ilvl w:val="1"/>
          <w:numId w:val="3"/>
        </w:numPr>
        <w:tabs>
          <w:tab w:val="left" w:pos="851" w:leader="none"/>
          <w:tab w:val="left" w:pos="1134" w:leader="none"/>
        </w:tabs>
        <w:ind w:left="0" w:firstLine="425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во время проведения спортивно-массовых мероприятий.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Механизм страхования жизни и здоровья детей.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счет средств субвенции; за счет муниципальных средств; за счет средств родителей.</w:t>
      </w:r>
    </w:p>
    <w:p>
      <w:pPr>
        <w:pStyle w:val="Normal"/>
        <w:tabs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Наименование учреждений, задействованных в период летней оздоровительной кампании; количество задействованных детей, в том числе детей с ограниченными возможностями здоровья и несовершеннолетних находящихся в социально опасном положении на:</w:t>
      </w:r>
    </w:p>
    <w:p>
      <w:pPr>
        <w:pStyle w:val="BodyText2"/>
        <w:numPr>
          <w:ilvl w:val="1"/>
          <w:numId w:val="2"/>
        </w:numPr>
        <w:tabs>
          <w:tab w:val="left" w:pos="426" w:leader="none"/>
          <w:tab w:val="left" w:pos="567" w:leader="none"/>
          <w:tab w:val="left" w:pos="851" w:leader="none"/>
          <w:tab w:val="left" w:pos="1134" w:leader="none"/>
          <w:tab w:val="left" w:pos="162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лагеря с дневным пребыванием детей;</w:t>
      </w:r>
    </w:p>
    <w:p>
      <w:pPr>
        <w:pStyle w:val="Normal"/>
        <w:numPr>
          <w:ilvl w:val="1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работа спортивных комплексов;</w:t>
      </w:r>
    </w:p>
    <w:p>
      <w:pPr>
        <w:pStyle w:val="BodyText2"/>
        <w:numPr>
          <w:ilvl w:val="1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подростковые клубы по месту жительства;</w:t>
      </w:r>
    </w:p>
    <w:p>
      <w:pPr>
        <w:pStyle w:val="BodyText2"/>
        <w:numPr>
          <w:ilvl w:val="1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спортивная площадка по месту жительства.</w:t>
      </w:r>
    </w:p>
    <w:p>
      <w:pPr>
        <w:pStyle w:val="BodyText2"/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1145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851" w:leader="none"/>
          <w:tab w:val="left" w:pos="1134" w:leader="none"/>
        </w:tabs>
        <w:spacing w:lineRule="auto" w:line="240" w:before="0" w:after="0"/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Наименование спортивно-массовых мероприятий, проводимых в летний период; количество задействованных детей, в том числе детей с ограниченными возможностями здоровья и несовершеннолетних находящихся в социально опасном положении.</w:t>
      </w:r>
    </w:p>
    <w:p>
      <w:pPr>
        <w:pStyle w:val="BodyText2"/>
        <w:tabs>
          <w:tab w:val="left" w:pos="0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BodyText2"/>
        <w:numPr>
          <w:ilvl w:val="0"/>
          <w:numId w:val="2"/>
        </w:numPr>
        <w:tabs>
          <w:tab w:val="left" w:pos="0" w:leader="none"/>
          <w:tab w:val="left" w:pos="851" w:leader="none"/>
          <w:tab w:val="left" w:pos="1134" w:leader="none"/>
        </w:tabs>
        <w:spacing w:lineRule="auto" w:line="240" w:before="0" w:after="0"/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Реализация программ (проектов) в сфере организации отдыха, </w:t>
      </w:r>
      <w:r>
        <w:rPr>
          <w:b/>
          <w:bCs/>
          <w:sz w:val="26"/>
          <w:szCs w:val="26"/>
        </w:rPr>
        <w:t>оздоровления и занятости детей, подростков и молодежи в каникулярный период.</w:t>
      </w:r>
    </w:p>
    <w:p>
      <w:pPr>
        <w:pStyle w:val="BodyText2"/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ind w:left="0" w:firstLine="425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Организация городских учебно-тренировочных сборов, учебно-тренировочных занятий.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numPr>
          <w:ilvl w:val="0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Трудоустройство подростков в летний период: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9.1. формы трудоустройства;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9.2. охват (%), в том числе несовершеннолетних, состоящих на учете в КДН.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BodyText2"/>
        <w:numPr>
          <w:ilvl w:val="0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Новое в организации отдыха и оздоровления детей.</w:t>
      </w:r>
    </w:p>
    <w:p>
      <w:pPr>
        <w:pStyle w:val="BodyText2"/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425" w:hanging="0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BodyText2"/>
        <w:numPr>
          <w:ilvl w:val="0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Профилактика безнадзорности и правонарушений несовершеннолетних.</w:t>
      </w:r>
    </w:p>
    <w:p>
      <w:pPr>
        <w:pStyle w:val="Style22"/>
        <w:tabs>
          <w:tab w:val="left" w:pos="426" w:leader="none"/>
          <w:tab w:val="left" w:pos="851" w:leader="none"/>
          <w:tab w:val="left" w:pos="1134" w:leader="none"/>
        </w:tabs>
        <w:spacing w:before="0" w:after="0"/>
        <w:ind w:left="0" w:firstLine="425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Основные источники финансирования летней кампании: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12.1. муниципальный бюджет (в 2021 год, в 2022 году, % увеличения, уменьшения);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12.2 бюджет автономного округа (в 2021 год, в 2022 году, % увеличения, уменьшения);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12.3. средства родителей (в 2021 год, в 2022 году, % увеличения, уменьшения);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12.4. средства спонсоров (в 2021 год, в 2022 году, % увеличения, уменьшения (прогноз).</w:t>
      </w:r>
    </w:p>
    <w:p>
      <w:pPr>
        <w:pStyle w:val="Normal"/>
        <w:tabs>
          <w:tab w:val="left" w:pos="426" w:leader="none"/>
          <w:tab w:val="left" w:pos="851" w:leader="none"/>
          <w:tab w:val="left" w:pos="1134" w:leader="none"/>
        </w:tabs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BodyText2"/>
        <w:numPr>
          <w:ilvl w:val="0"/>
          <w:numId w:val="2"/>
        </w:numPr>
        <w:tabs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425"/>
        <w:jc w:val="both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Работа со СМИ.</w:t>
      </w:r>
    </w:p>
    <w:p>
      <w:pPr>
        <w:pStyle w:val="BodyText2"/>
        <w:tabs>
          <w:tab w:val="left" w:pos="851" w:leader="none"/>
          <w:tab w:val="left" w:pos="1134" w:leader="none"/>
        </w:tabs>
        <w:spacing w:lineRule="auto" w:line="240" w:before="0" w:after="0"/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13.1. издание методических и информационных материалов об организации отдыха, оздоровления, занятости детей, подростков и молодежи;</w:t>
      </w:r>
    </w:p>
    <w:p>
      <w:pPr>
        <w:pStyle w:val="BodyText2"/>
        <w:tabs>
          <w:tab w:val="left" w:pos="851" w:leader="none"/>
          <w:tab w:val="left" w:pos="1134" w:leader="none"/>
        </w:tabs>
        <w:spacing w:lineRule="auto" w:line="240" w:before="0" w:after="0"/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13.2. наличие информационного ресурса;</w:t>
      </w:r>
    </w:p>
    <w:p>
      <w:pPr>
        <w:pStyle w:val="BodyText2"/>
        <w:tabs>
          <w:tab w:val="left" w:pos="851" w:leader="none"/>
          <w:tab w:val="left" w:pos="1134" w:leader="none"/>
        </w:tabs>
        <w:spacing w:lineRule="auto" w:line="240" w:before="0" w:after="0"/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13.3. размещение информации на официальном сайте органа местного самоуправления;</w:t>
      </w:r>
    </w:p>
    <w:p>
      <w:pPr>
        <w:pStyle w:val="BodyText2"/>
        <w:tabs>
          <w:tab w:val="left" w:pos="851" w:leader="none"/>
          <w:tab w:val="left" w:pos="1134" w:leader="none"/>
        </w:tabs>
        <w:spacing w:lineRule="auto" w:line="240" w:before="0" w:after="0"/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13.4. информирование в СМИ;</w:t>
      </w:r>
    </w:p>
    <w:p>
      <w:pPr>
        <w:pStyle w:val="BodyText2"/>
        <w:tabs>
          <w:tab w:val="left" w:pos="851" w:leader="none"/>
          <w:tab w:val="left" w:pos="1134" w:leader="none"/>
        </w:tabs>
        <w:spacing w:lineRule="auto" w:line="240" w:before="0" w:after="0"/>
        <w:ind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13.5. организация работы телефона горячей линии;</w:t>
      </w:r>
    </w:p>
    <w:p>
      <w:pPr>
        <w:pStyle w:val="Normal"/>
        <w:rPr/>
      </w:pPr>
      <w:r>
        <w:rPr>
          <w:color w:val="000000"/>
          <w:sz w:val="26"/>
          <w:szCs w:val="26"/>
        </w:rPr>
        <w:t>13.6. иные формы информирования населения.</w:t>
      </w:r>
    </w:p>
    <w:sectPr>
      <w:footerReference w:type="default" r:id="rId3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Palatino Linotype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6" w:hanging="720"/>
      </w:pPr>
    </w:lvl>
    <w:lvl w:ilvl="2">
      <w:start w:val="1"/>
      <w:numFmt w:val="decimal"/>
      <w:lvlText w:val="%1.%2.%3."/>
      <w:lvlJc w:val="left"/>
      <w:pPr>
        <w:ind w:left="796" w:hanging="720"/>
      </w:pPr>
    </w:lvl>
    <w:lvl w:ilvl="3">
      <w:start w:val="1"/>
      <w:numFmt w:val="decimal"/>
      <w:lvlText w:val="%1.%2.%3.%4."/>
      <w:lvlJc w:val="left"/>
      <w:pPr>
        <w:ind w:left="1156" w:hanging="1080"/>
      </w:pPr>
    </w:lvl>
    <w:lvl w:ilvl="4">
      <w:start w:val="1"/>
      <w:numFmt w:val="decimal"/>
      <w:lvlText w:val="%1.%2.%3.%4.%5."/>
      <w:lvlJc w:val="left"/>
      <w:pPr>
        <w:ind w:left="1156" w:hanging="1080"/>
      </w:pPr>
    </w:lvl>
    <w:lvl w:ilvl="5">
      <w:start w:val="1"/>
      <w:numFmt w:val="decimal"/>
      <w:lvlText w:val="%1.%2.%3.%4.%5.%6."/>
      <w:lvlJc w:val="left"/>
      <w:pPr>
        <w:ind w:left="1516" w:hanging="1440"/>
      </w:pPr>
    </w:lvl>
    <w:lvl w:ilvl="6">
      <w:start w:val="1"/>
      <w:numFmt w:val="decimal"/>
      <w:lvlText w:val="%1.%2.%3.%4.%5.%6.%7."/>
      <w:lvlJc w:val="left"/>
      <w:pPr>
        <w:ind w:left="1876" w:hanging="1800"/>
      </w:pPr>
    </w:lvl>
    <w:lvl w:ilvl="7">
      <w:start w:val="1"/>
      <w:numFmt w:val="decimal"/>
      <w:lvlText w:val="%1.%2.%3.%4.%5.%6.%7.%8."/>
      <w:lvlJc w:val="left"/>
      <w:pPr>
        <w:ind w:left="1876" w:hanging="1800"/>
      </w:pPr>
    </w:lvl>
    <w:lvl w:ilvl="8">
      <w:start w:val="1"/>
      <w:numFmt w:val="decimal"/>
      <w:lvlText w:val="%1.%2.%3.%4.%5.%6.%7.%8.%9."/>
      <w:lvlJc w:val="left"/>
      <w:pPr>
        <w:ind w:left="2236" w:hanging="2160"/>
      </w:pPr>
    </w:lvl>
  </w:abstractNum>
  <w:abstractNum w:abstractNumId="2">
    <w:lvl w:ilvl="0">
      <w:start w:val="6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071" w:hanging="1080"/>
      </w:pPr>
    </w:lvl>
    <w:lvl w:ilvl="4">
      <w:start w:val="1"/>
      <w:numFmt w:val="decimal"/>
      <w:lvlText w:val="%1.%2.%3.%4.%5."/>
      <w:lvlJc w:val="left"/>
      <w:pPr>
        <w:ind w:left="2354" w:hanging="1080"/>
      </w:pPr>
    </w:lvl>
    <w:lvl w:ilvl="5">
      <w:start w:val="1"/>
      <w:numFmt w:val="decimal"/>
      <w:lvlText w:val="%1.%2.%3.%4.%5.%6."/>
      <w:lvlJc w:val="left"/>
      <w:pPr>
        <w:ind w:left="2997" w:hanging="1440"/>
      </w:pPr>
    </w:lvl>
    <w:lvl w:ilvl="6">
      <w:start w:val="1"/>
      <w:numFmt w:val="decimal"/>
      <w:lvlText w:val="%1.%2.%3.%4.%5.%6.%7."/>
      <w:lvlJc w:val="left"/>
      <w:pPr>
        <w:ind w:left="3640" w:hanging="1800"/>
      </w:pPr>
    </w:lvl>
    <w:lvl w:ilvl="7">
      <w:start w:val="1"/>
      <w:numFmt w:val="decimal"/>
      <w:lvlText w:val="%1.%2.%3.%4.%5.%6.%7.%8."/>
      <w:lvlJc w:val="left"/>
      <w:pPr>
        <w:ind w:left="3923" w:hanging="1800"/>
      </w:pPr>
    </w:lvl>
    <w:lvl w:ilvl="8">
      <w:start w:val="1"/>
      <w:numFmt w:val="decimal"/>
      <w:lvlText w:val="%1.%2.%3.%4.%5.%6.%7.%8.%9."/>
      <w:lvlJc w:val="left"/>
      <w:pPr>
        <w:ind w:left="4566" w:hanging="2160"/>
      </w:pPr>
    </w:lvl>
  </w:abstractNum>
  <w:abstractNum w:abstractNumId="3">
    <w:lvl w:ilvl="0">
      <w:start w:val="4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582" w:hanging="720"/>
      </w:pPr>
    </w:lvl>
    <w:lvl w:ilvl="3">
      <w:start w:val="1"/>
      <w:numFmt w:val="decimal"/>
      <w:lvlText w:val="%1.%2.%3.%4."/>
      <w:lvlJc w:val="left"/>
      <w:pPr>
        <w:ind w:left="2302" w:hanging="1080"/>
      </w:pPr>
    </w:lvl>
    <w:lvl w:ilvl="4">
      <w:start w:val="1"/>
      <w:numFmt w:val="decimal"/>
      <w:lvlText w:val="%1.%2.%3.%4.%5."/>
      <w:lvlJc w:val="left"/>
      <w:pPr>
        <w:ind w:left="2662" w:hanging="1080"/>
      </w:pPr>
    </w:lvl>
    <w:lvl w:ilvl="5">
      <w:start w:val="1"/>
      <w:numFmt w:val="decimal"/>
      <w:lvlText w:val="%1.%2.%3.%4.%5.%6."/>
      <w:lvlJc w:val="left"/>
      <w:pPr>
        <w:ind w:left="3382" w:hanging="1440"/>
      </w:pPr>
    </w:lvl>
    <w:lvl w:ilvl="6">
      <w:start w:val="1"/>
      <w:numFmt w:val="decimal"/>
      <w:lvlText w:val="%1.%2.%3.%4.%5.%6.%7."/>
      <w:lvlJc w:val="left"/>
      <w:pPr>
        <w:ind w:left="4102" w:hanging="1800"/>
      </w:pPr>
    </w:lvl>
    <w:lvl w:ilvl="7">
      <w:start w:val="1"/>
      <w:numFmt w:val="decimal"/>
      <w:lvlText w:val="%1.%2.%3.%4.%5.%6.%7.%8."/>
      <w:lvlJc w:val="left"/>
      <w:pPr>
        <w:ind w:left="4462" w:hanging="1800"/>
      </w:pPr>
    </w:lvl>
    <w:lvl w:ilvl="8">
      <w:start w:val="1"/>
      <w:numFmt w:val="decimal"/>
      <w:lvlText w:val="%1.%2.%3.%4.%5.%6.%7.%8.%9."/>
      <w:lvlJc w:val="left"/>
      <w:pPr>
        <w:ind w:left="5182" w:hanging="2160"/>
      </w:pPr>
    </w:lvl>
  </w:abstractNum>
  <w:abstractNum w:abstractNumId="4">
    <w:lvl w:ilvl="0">
      <w:start w:val="5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3a4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4"/>
    <w:qFormat/>
    <w:rsid w:val="00033a4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033a4b"/>
    <w:rPr/>
  </w:style>
  <w:style w:type="character" w:styleId="FontStyle17" w:customStyle="1">
    <w:name w:val="Font Style17"/>
    <w:uiPriority w:val="99"/>
    <w:qFormat/>
    <w:rsid w:val="00033a4b"/>
    <w:rPr>
      <w:rFonts w:ascii="Palatino Linotype" w:hAnsi="Palatino Linotype" w:cs="Palatino Linotype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link w:val="a7"/>
    <w:qFormat/>
    <w:rsid w:val="00033a4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2"/>
    <w:qFormat/>
    <w:rsid w:val="00033a4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>
    <w:name w:val="Основной текст1"/>
    <w:basedOn w:val="DefaultParagraphFont"/>
    <w:qFormat/>
    <w:rPr>
      <w:rFonts w:ascii="Times New Roman" w:hAnsi="Times New Roman" w:eastAsia="Times New Roman" w:cs="Times New Roman"/>
      <w:color w:val="000000"/>
      <w:spacing w:val="0"/>
      <w:w w:val="100"/>
      <w:highlight w:val="white"/>
      <w:lang w:val="ru-RU" w:eastAsia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rsid w:val="00033a4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Style21">
    <w:name w:val="Footer"/>
    <w:basedOn w:val="Normal"/>
    <w:link w:val="a5"/>
    <w:rsid w:val="00033a4b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61" w:customStyle="1">
    <w:name w:val="Style6"/>
    <w:basedOn w:val="Normal"/>
    <w:uiPriority w:val="99"/>
    <w:qFormat/>
    <w:rsid w:val="00033a4b"/>
    <w:pPr>
      <w:widowControl w:val="false"/>
      <w:jc w:val="center"/>
    </w:pPr>
    <w:rPr>
      <w:rFonts w:ascii="Palatino Linotype" w:hAnsi="Palatino Linotype"/>
      <w:sz w:val="24"/>
      <w:szCs w:val="24"/>
    </w:rPr>
  </w:style>
  <w:style w:type="paragraph" w:styleId="Style22">
    <w:name w:val="Body Text Indent"/>
    <w:basedOn w:val="Normal"/>
    <w:link w:val="a8"/>
    <w:rsid w:val="00033a4b"/>
    <w:pPr>
      <w:spacing w:before="0" w:after="120"/>
      <w:ind w:left="283" w:hanging="0"/>
    </w:pPr>
    <w:rPr>
      <w:sz w:val="24"/>
      <w:szCs w:val="24"/>
    </w:rPr>
  </w:style>
  <w:style w:type="paragraph" w:styleId="BodyText2">
    <w:name w:val="Body Text 2"/>
    <w:basedOn w:val="Normal"/>
    <w:link w:val="20"/>
    <w:qFormat/>
    <w:rsid w:val="00033a4b"/>
    <w:pPr>
      <w:spacing w:lineRule="auto" w:line="480" w:before="0" w:after="120"/>
    </w:pPr>
    <w:rPr>
      <w:sz w:val="24"/>
      <w:szCs w:val="24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LibreOffice/6.0.7.3$Linux_X86_64 LibreOffice_project/00m0$Build-3</Application>
  <Pages>6</Pages>
  <Words>1385</Words>
  <Characters>8654</Characters>
  <CharactersWithSpaces>9704</CharactersWithSpaces>
  <Paragraphs>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2022-06-27T05:14:00Z</dcterms:created>
  <dc:creator>Муравьев Евгений Александрович</dc:creator>
  <dc:description/>
  <dc:language>ru-RU</dc:language>
  <cp:lastModifiedBy/>
  <dcterms:modified xsi:type="dcterms:W3CDTF">2022-09-09T09:42:43Z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